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64" w:rsidRDefault="001E4464" w:rsidP="0053585C">
      <w:pPr>
        <w:pStyle w:val="HeadHatzaotHok"/>
        <w:keepNext w:val="0"/>
        <w:keepLines w:val="0"/>
        <w:ind w:left="-376"/>
        <w:rPr>
          <w:rtl/>
        </w:rPr>
      </w:pPr>
      <w:r>
        <w:rPr>
          <w:rtl/>
        </w:rPr>
        <w:t>הצעת חו</w:t>
      </w:r>
      <w:r>
        <w:rPr>
          <w:rFonts w:hint="cs"/>
          <w:rtl/>
        </w:rPr>
        <w:t xml:space="preserve">ק </w:t>
      </w:r>
      <w:r w:rsidR="00E4130F" w:rsidRPr="00E4130F">
        <w:rPr>
          <w:rtl/>
        </w:rPr>
        <w:t>הבנקאות (שירות ללקוח)</w:t>
      </w:r>
      <w:r w:rsidR="00E4130F" w:rsidRPr="00CF5BDF">
        <w:rPr>
          <w:rFonts w:hint="cs"/>
          <w:rtl/>
        </w:rPr>
        <w:t xml:space="preserve"> </w:t>
      </w:r>
      <w:r w:rsidRPr="00CF5BDF">
        <w:rPr>
          <w:rFonts w:hint="cs"/>
          <w:rtl/>
        </w:rPr>
        <w:t>(</w:t>
      </w:r>
      <w:r w:rsidR="0053585C">
        <w:rPr>
          <w:rFonts w:hint="cs"/>
          <w:rtl/>
        </w:rPr>
        <w:t xml:space="preserve">תיקון </w:t>
      </w:r>
      <w:r w:rsidR="0053585C">
        <w:rPr>
          <w:rtl/>
        </w:rPr>
        <w:t>–</w:t>
      </w:r>
      <w:r w:rsidR="0053585C">
        <w:rPr>
          <w:rFonts w:hint="cs"/>
          <w:rtl/>
        </w:rPr>
        <w:t xml:space="preserve"> שיעור הריבית על הלוואה לדיור</w:t>
      </w:r>
      <w:r w:rsidRPr="00CF5BDF">
        <w:rPr>
          <w:rFonts w:hint="cs"/>
          <w:rtl/>
        </w:rPr>
        <w:t>)</w:t>
      </w:r>
      <w:r w:rsidR="0053585C">
        <w:rPr>
          <w:rFonts w:hint="cs"/>
          <w:rtl/>
        </w:rPr>
        <w:t>,</w:t>
      </w:r>
      <w:r w:rsidR="00792F90">
        <w:rPr>
          <w:rFonts w:hint="cs"/>
          <w:rtl/>
        </w:rPr>
        <w:t xml:space="preserve"> התשפ"ג</w:t>
      </w:r>
      <w:r w:rsidR="0053585C">
        <w:rPr>
          <w:rFonts w:hint="eastAsia"/>
          <w:rtl/>
        </w:rPr>
        <w:t>–</w:t>
      </w:r>
      <w:r w:rsidR="00792F90">
        <w:rPr>
          <w:rFonts w:hint="cs"/>
          <w:rtl/>
        </w:rPr>
        <w:t>2022</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50"/>
      </w:tblGrid>
      <w:tr w:rsidR="001E4464" w:rsidTr="00E723C9">
        <w:trPr>
          <w:cantSplit/>
          <w:trHeight w:val="60"/>
        </w:trPr>
        <w:tc>
          <w:tcPr>
            <w:tcW w:w="1871" w:type="dxa"/>
          </w:tcPr>
          <w:p w:rsidR="001E4464" w:rsidRDefault="00DE2909" w:rsidP="00DE2909">
            <w:pPr>
              <w:pStyle w:val="TableSideHeading"/>
              <w:keepLines w:val="0"/>
            </w:pPr>
            <w:r>
              <w:rPr>
                <w:rFonts w:hint="cs"/>
                <w:rtl/>
              </w:rPr>
              <w:t>הוספת סעיף 9ח3</w:t>
            </w:r>
          </w:p>
        </w:tc>
        <w:tc>
          <w:tcPr>
            <w:tcW w:w="624" w:type="dxa"/>
          </w:tcPr>
          <w:p w:rsidR="001E4464" w:rsidRDefault="001E4464" w:rsidP="001E4464">
            <w:pPr>
              <w:pStyle w:val="TableText"/>
              <w:keepLines w:val="0"/>
              <w:numPr>
                <w:ilvl w:val="0"/>
                <w:numId w:val="1"/>
              </w:numPr>
              <w:tabs>
                <w:tab w:val="clear" w:pos="624"/>
              </w:tabs>
            </w:pPr>
          </w:p>
        </w:tc>
        <w:tc>
          <w:tcPr>
            <w:tcW w:w="7146" w:type="dxa"/>
            <w:gridSpan w:val="3"/>
          </w:tcPr>
          <w:p w:rsidR="001E4464" w:rsidRPr="00C34DE2" w:rsidRDefault="001A5152" w:rsidP="0053585C">
            <w:pPr>
              <w:pStyle w:val="TableBlock"/>
              <w:keepLines w:val="0"/>
            </w:pPr>
            <w:r>
              <w:rPr>
                <w:rFonts w:hint="cs"/>
                <w:rtl/>
              </w:rPr>
              <w:t>בחוק</w:t>
            </w:r>
            <w:r w:rsidR="00E4130F">
              <w:rPr>
                <w:rFonts w:hint="cs"/>
                <w:rtl/>
              </w:rPr>
              <w:t xml:space="preserve"> </w:t>
            </w:r>
            <w:r w:rsidR="00E4130F" w:rsidRPr="00E4130F">
              <w:rPr>
                <w:rtl/>
              </w:rPr>
              <w:t>הבנקאות (שירות ללקוח), התשמ"א–1981</w:t>
            </w:r>
            <w:r w:rsidR="002A204A">
              <w:rPr>
                <w:rStyle w:val="a7"/>
                <w:rtl/>
              </w:rPr>
              <w:footnoteReference w:id="1"/>
            </w:r>
            <w:r w:rsidR="00E4130F" w:rsidRPr="00E4130F">
              <w:rPr>
                <w:rtl/>
              </w:rPr>
              <w:t xml:space="preserve">, </w:t>
            </w:r>
            <w:r w:rsidR="0053585C">
              <w:rPr>
                <w:rFonts w:hint="cs"/>
                <w:rtl/>
              </w:rPr>
              <w:t>אחרי סעיף 9ח2 יבוא:</w:t>
            </w:r>
            <w:r>
              <w:rPr>
                <w:rFonts w:hint="cs"/>
                <w:rtl/>
              </w:rPr>
              <w:t xml:space="preserve"> </w:t>
            </w:r>
          </w:p>
        </w:tc>
      </w:tr>
      <w:tr w:rsidR="0053585C" w:rsidTr="006B0672">
        <w:trPr>
          <w:cantSplit/>
          <w:trHeight w:val="60"/>
        </w:trPr>
        <w:tc>
          <w:tcPr>
            <w:tcW w:w="1871" w:type="dxa"/>
          </w:tcPr>
          <w:p w:rsidR="0053585C" w:rsidRDefault="0053585C">
            <w:pPr>
              <w:pStyle w:val="TableSideHeading"/>
            </w:pPr>
          </w:p>
        </w:tc>
        <w:tc>
          <w:tcPr>
            <w:tcW w:w="624" w:type="dxa"/>
          </w:tcPr>
          <w:p w:rsidR="0053585C" w:rsidRDefault="0053585C">
            <w:pPr>
              <w:pStyle w:val="TableText"/>
            </w:pPr>
          </w:p>
        </w:tc>
        <w:tc>
          <w:tcPr>
            <w:tcW w:w="1872" w:type="dxa"/>
          </w:tcPr>
          <w:p w:rsidR="0053585C" w:rsidRDefault="0053585C">
            <w:pPr>
              <w:pStyle w:val="TableText"/>
            </w:pPr>
            <w:r>
              <w:rPr>
                <w:rFonts w:hint="cs"/>
                <w:rtl/>
              </w:rPr>
              <w:t>"שינוי בשיעור הריבית</w:t>
            </w:r>
          </w:p>
        </w:tc>
        <w:tc>
          <w:tcPr>
            <w:tcW w:w="624" w:type="dxa"/>
          </w:tcPr>
          <w:p w:rsidR="0053585C" w:rsidRDefault="0053585C">
            <w:pPr>
              <w:pStyle w:val="TableText"/>
            </w:pPr>
            <w:r>
              <w:rPr>
                <w:rFonts w:hint="cs"/>
                <w:rtl/>
              </w:rPr>
              <w:t>9ח3.</w:t>
            </w:r>
          </w:p>
        </w:tc>
        <w:tc>
          <w:tcPr>
            <w:tcW w:w="4650" w:type="dxa"/>
          </w:tcPr>
          <w:p w:rsidR="0053585C" w:rsidRDefault="008B3F33" w:rsidP="008B3F33">
            <w:pPr>
              <w:pStyle w:val="TableBlock"/>
            </w:pPr>
            <w:r>
              <w:rPr>
                <w:rFonts w:hint="cs"/>
                <w:rtl/>
              </w:rPr>
              <w:t>(א)</w:t>
            </w:r>
            <w:r>
              <w:rPr>
                <w:rtl/>
              </w:rPr>
              <w:tab/>
            </w:r>
            <w:r w:rsidR="00F078A4">
              <w:rPr>
                <w:rFonts w:hint="cs"/>
                <w:rtl/>
              </w:rPr>
              <w:t xml:space="preserve">על אף האמור בכל דין, </w:t>
            </w:r>
            <w:r w:rsidR="00F078A4" w:rsidRPr="00DE2909">
              <w:rPr>
                <w:rFonts w:hint="cs"/>
                <w:rtl/>
              </w:rPr>
              <w:t>שיעור הריבית שתאגיד בנקאי גובה בעד הלוואה לדיור עבור דיר</w:t>
            </w:r>
            <w:r>
              <w:rPr>
                <w:rFonts w:hint="cs"/>
                <w:rtl/>
              </w:rPr>
              <w:t>ה</w:t>
            </w:r>
            <w:r w:rsidR="00F078A4">
              <w:rPr>
                <w:rFonts w:hint="cs"/>
                <w:rtl/>
              </w:rPr>
              <w:t xml:space="preserve"> </w:t>
            </w:r>
            <w:r>
              <w:rPr>
                <w:rFonts w:hint="cs"/>
                <w:rtl/>
              </w:rPr>
              <w:t>יחידה</w:t>
            </w:r>
            <w:r w:rsidR="00F078A4" w:rsidRPr="00DE2909">
              <w:rPr>
                <w:rFonts w:hint="cs"/>
                <w:rtl/>
              </w:rPr>
              <w:t xml:space="preserve"> </w:t>
            </w:r>
            <w:r w:rsidR="00F078A4">
              <w:rPr>
                <w:rFonts w:hint="cs"/>
                <w:rtl/>
              </w:rPr>
              <w:t xml:space="preserve">המשמשת למגורים של יחיד </w:t>
            </w:r>
            <w:r w:rsidR="00F078A4" w:rsidRPr="00DE2909">
              <w:rPr>
                <w:rFonts w:hint="cs"/>
                <w:rtl/>
              </w:rPr>
              <w:t xml:space="preserve">לא ישתנה עקב עליית שיעור </w:t>
            </w:r>
            <w:r w:rsidR="00F078A4">
              <w:rPr>
                <w:rFonts w:hint="cs"/>
                <w:rtl/>
              </w:rPr>
              <w:t xml:space="preserve">ריבית בנק ישראל, ואולם אם שיעור ריבית בנק ישראל עלה </w:t>
            </w:r>
            <w:r w:rsidR="00F078A4" w:rsidRPr="001B37B1">
              <w:rPr>
                <w:rFonts w:hint="cs"/>
                <w:rtl/>
              </w:rPr>
              <w:t xml:space="preserve">ב-1% </w:t>
            </w:r>
            <w:r w:rsidR="001B37B1">
              <w:rPr>
                <w:rFonts w:hint="cs"/>
                <w:rtl/>
              </w:rPr>
              <w:t xml:space="preserve">בשנה </w:t>
            </w:r>
            <w:r w:rsidR="00F078A4" w:rsidRPr="001B37B1">
              <w:rPr>
                <w:rFonts w:hint="cs"/>
                <w:rtl/>
              </w:rPr>
              <w:t>לפחות</w:t>
            </w:r>
            <w:r w:rsidR="00F078A4" w:rsidRPr="00DE2909">
              <w:rPr>
                <w:rFonts w:hint="cs"/>
                <w:rtl/>
              </w:rPr>
              <w:t xml:space="preserve"> יהיה רשאי תאגיד בנקאי להעלות את שיעור הריבית </w:t>
            </w:r>
            <w:r w:rsidR="00F078A4">
              <w:rPr>
                <w:rFonts w:hint="cs"/>
                <w:rtl/>
              </w:rPr>
              <w:t xml:space="preserve">עד </w:t>
            </w:r>
            <w:r w:rsidR="00F078A4" w:rsidRPr="00DE2909">
              <w:rPr>
                <w:rFonts w:hint="cs"/>
                <w:rtl/>
              </w:rPr>
              <w:t xml:space="preserve">מחצית </w:t>
            </w:r>
            <w:r w:rsidR="00F078A4">
              <w:rPr>
                <w:rFonts w:hint="cs"/>
                <w:rtl/>
              </w:rPr>
              <w:t>השיעור</w:t>
            </w:r>
            <w:r w:rsidR="001B37B1">
              <w:rPr>
                <w:rFonts w:hint="cs"/>
                <w:rtl/>
              </w:rPr>
              <w:t xml:space="preserve"> שעלה כאמור</w:t>
            </w:r>
            <w:r w:rsidR="00F078A4">
              <w:rPr>
                <w:rFonts w:hint="cs"/>
                <w:rtl/>
              </w:rPr>
              <w:t>.</w:t>
            </w:r>
          </w:p>
        </w:tc>
      </w:tr>
      <w:tr w:rsidR="008B3F33" w:rsidTr="006B0672">
        <w:trPr>
          <w:cantSplit/>
          <w:trHeight w:val="60"/>
        </w:trPr>
        <w:tc>
          <w:tcPr>
            <w:tcW w:w="1871" w:type="dxa"/>
          </w:tcPr>
          <w:p w:rsidR="008B3F33" w:rsidRDefault="008B3F33">
            <w:pPr>
              <w:pStyle w:val="TableSideHeading"/>
            </w:pPr>
          </w:p>
        </w:tc>
        <w:tc>
          <w:tcPr>
            <w:tcW w:w="624" w:type="dxa"/>
          </w:tcPr>
          <w:p w:rsidR="008B3F33" w:rsidRDefault="008B3F33">
            <w:pPr>
              <w:pStyle w:val="TableText"/>
            </w:pPr>
          </w:p>
        </w:tc>
        <w:tc>
          <w:tcPr>
            <w:tcW w:w="1872" w:type="dxa"/>
          </w:tcPr>
          <w:p w:rsidR="008B3F33" w:rsidRDefault="008B3F33">
            <w:pPr>
              <w:pStyle w:val="TableText"/>
              <w:rPr>
                <w:rFonts w:hint="cs"/>
                <w:rtl/>
              </w:rPr>
            </w:pPr>
          </w:p>
        </w:tc>
        <w:tc>
          <w:tcPr>
            <w:tcW w:w="624" w:type="dxa"/>
          </w:tcPr>
          <w:p w:rsidR="008B3F33" w:rsidRDefault="008B3F33">
            <w:pPr>
              <w:pStyle w:val="TableText"/>
              <w:rPr>
                <w:rFonts w:hint="cs"/>
                <w:rtl/>
              </w:rPr>
            </w:pPr>
          </w:p>
        </w:tc>
        <w:tc>
          <w:tcPr>
            <w:tcW w:w="4650" w:type="dxa"/>
          </w:tcPr>
          <w:p w:rsidR="008B3F33" w:rsidRDefault="008B3F33" w:rsidP="00F078A4">
            <w:pPr>
              <w:pStyle w:val="TableBlockOutdent"/>
              <w:rPr>
                <w:rFonts w:hint="cs"/>
                <w:rtl/>
              </w:rPr>
            </w:pPr>
            <w:r>
              <w:rPr>
                <w:rFonts w:hint="cs"/>
                <w:rtl/>
              </w:rPr>
              <w:t>(ב)</w:t>
            </w:r>
            <w:r>
              <w:rPr>
                <w:rtl/>
              </w:rPr>
              <w:tab/>
            </w:r>
            <w:r>
              <w:rPr>
                <w:rFonts w:hint="cs"/>
                <w:rtl/>
              </w:rPr>
              <w:t xml:space="preserve">בסעיף זה </w:t>
            </w:r>
            <w:r>
              <w:rPr>
                <w:rtl/>
              </w:rPr>
              <w:t>–</w:t>
            </w:r>
            <w:r>
              <w:rPr>
                <w:rFonts w:hint="cs"/>
                <w:rtl/>
              </w:rPr>
              <w:t xml:space="preserve"> </w:t>
            </w:r>
          </w:p>
        </w:tc>
      </w:tr>
      <w:tr w:rsidR="008B3F33" w:rsidTr="006B0672">
        <w:trPr>
          <w:cantSplit/>
          <w:trHeight w:val="60"/>
        </w:trPr>
        <w:tc>
          <w:tcPr>
            <w:tcW w:w="1871" w:type="dxa"/>
          </w:tcPr>
          <w:p w:rsidR="008B3F33" w:rsidRDefault="008B3F33">
            <w:pPr>
              <w:pStyle w:val="TableSideHeading"/>
            </w:pPr>
          </w:p>
        </w:tc>
        <w:tc>
          <w:tcPr>
            <w:tcW w:w="624" w:type="dxa"/>
          </w:tcPr>
          <w:p w:rsidR="008B3F33" w:rsidRDefault="008B3F33">
            <w:pPr>
              <w:pStyle w:val="TableText"/>
            </w:pPr>
          </w:p>
        </w:tc>
        <w:tc>
          <w:tcPr>
            <w:tcW w:w="1872" w:type="dxa"/>
          </w:tcPr>
          <w:p w:rsidR="008B3F33" w:rsidRDefault="008B3F33">
            <w:pPr>
              <w:pStyle w:val="TableText"/>
              <w:rPr>
                <w:rFonts w:hint="cs"/>
                <w:rtl/>
              </w:rPr>
            </w:pPr>
          </w:p>
        </w:tc>
        <w:tc>
          <w:tcPr>
            <w:tcW w:w="624" w:type="dxa"/>
          </w:tcPr>
          <w:p w:rsidR="008B3F33" w:rsidRDefault="008B3F33">
            <w:pPr>
              <w:pStyle w:val="TableText"/>
              <w:rPr>
                <w:rFonts w:hint="cs"/>
                <w:rtl/>
              </w:rPr>
            </w:pPr>
          </w:p>
        </w:tc>
        <w:tc>
          <w:tcPr>
            <w:tcW w:w="4650" w:type="dxa"/>
          </w:tcPr>
          <w:p w:rsidR="008B3F33" w:rsidRPr="00F078A4" w:rsidRDefault="008B3F33" w:rsidP="00F078A4">
            <w:pPr>
              <w:pStyle w:val="TableBlockOutdent"/>
              <w:rPr>
                <w:rFonts w:hint="cs"/>
                <w:rtl/>
              </w:rPr>
            </w:pPr>
            <w:r>
              <w:rPr>
                <w:rFonts w:hint="cs"/>
                <w:rtl/>
              </w:rPr>
              <w:t xml:space="preserve">"דירה יחידה" </w:t>
            </w:r>
            <w:r>
              <w:rPr>
                <w:rtl/>
              </w:rPr>
              <w:t>–</w:t>
            </w:r>
            <w:r>
              <w:rPr>
                <w:rFonts w:hint="cs"/>
                <w:rtl/>
              </w:rPr>
              <w:t xml:space="preserve"> כהגדרתה בסעיף 9(ג1ג)(4) לחוק מיסוי מקרקעין (שבח ורכישה), התשכ"ג-1963;</w:t>
            </w:r>
          </w:p>
        </w:tc>
      </w:tr>
      <w:tr w:rsidR="00F078A4" w:rsidTr="006B0672">
        <w:trPr>
          <w:cantSplit/>
          <w:trHeight w:val="60"/>
        </w:trPr>
        <w:tc>
          <w:tcPr>
            <w:tcW w:w="1871" w:type="dxa"/>
          </w:tcPr>
          <w:p w:rsidR="00F078A4" w:rsidRDefault="00F078A4">
            <w:pPr>
              <w:pStyle w:val="TableSideHeading"/>
            </w:pPr>
          </w:p>
        </w:tc>
        <w:tc>
          <w:tcPr>
            <w:tcW w:w="624" w:type="dxa"/>
          </w:tcPr>
          <w:p w:rsidR="00F078A4" w:rsidRDefault="00F078A4">
            <w:pPr>
              <w:pStyle w:val="TableText"/>
            </w:pPr>
          </w:p>
        </w:tc>
        <w:tc>
          <w:tcPr>
            <w:tcW w:w="1872" w:type="dxa"/>
          </w:tcPr>
          <w:p w:rsidR="00F078A4" w:rsidRDefault="00F078A4">
            <w:pPr>
              <w:pStyle w:val="TableText"/>
              <w:rPr>
                <w:rFonts w:hint="cs"/>
                <w:rtl/>
              </w:rPr>
            </w:pPr>
          </w:p>
        </w:tc>
        <w:tc>
          <w:tcPr>
            <w:tcW w:w="624" w:type="dxa"/>
          </w:tcPr>
          <w:p w:rsidR="00F078A4" w:rsidRDefault="00F078A4">
            <w:pPr>
              <w:pStyle w:val="TableText"/>
              <w:rPr>
                <w:rFonts w:hint="cs"/>
                <w:rtl/>
              </w:rPr>
            </w:pPr>
          </w:p>
        </w:tc>
        <w:tc>
          <w:tcPr>
            <w:tcW w:w="4650" w:type="dxa"/>
          </w:tcPr>
          <w:p w:rsidR="00F078A4" w:rsidRPr="00F078A4" w:rsidRDefault="00F078A4" w:rsidP="00F078A4">
            <w:pPr>
              <w:pStyle w:val="TableBlockOutdent"/>
              <w:rPr>
                <w:rFonts w:hint="cs"/>
                <w:rtl/>
              </w:rPr>
            </w:pPr>
            <w:r w:rsidRPr="00F078A4">
              <w:rPr>
                <w:rFonts w:hint="cs"/>
                <w:rtl/>
              </w:rPr>
              <w:t xml:space="preserve">"ריבית בנק ישראל" </w:t>
            </w:r>
            <w:r w:rsidRPr="00F078A4">
              <w:rPr>
                <w:rtl/>
              </w:rPr>
              <w:t>– הריבית שקובע בנק ישראל במסגרת ההחלטות המוניטריות התקופתיות, המשמשת את הבנק לצורך מתן הלוואות לתאגידים הבנקאיים או לצורך קבלת הלוואות מתאגידים בנקאיים, כשיעורה מזמן לזמן, המתפרסמת באתר האינטרנט של בנק ישראל, והידועה במועד כריתת חוזה ההלוואה</w:t>
            </w:r>
            <w:r w:rsidRPr="00F078A4">
              <w:rPr>
                <w:rFonts w:hint="cs"/>
                <w:rtl/>
              </w:rPr>
              <w:t>."</w:t>
            </w:r>
          </w:p>
        </w:tc>
      </w:tr>
      <w:tr w:rsidR="00534AD6">
        <w:trPr>
          <w:cantSplit/>
          <w:trHeight w:val="60"/>
        </w:trPr>
        <w:tc>
          <w:tcPr>
            <w:tcW w:w="1871" w:type="dxa"/>
          </w:tcPr>
          <w:p w:rsidR="00534AD6" w:rsidRDefault="00150213">
            <w:pPr>
              <w:pStyle w:val="TableSideHeading"/>
            </w:pPr>
            <w:r>
              <w:rPr>
                <w:rFonts w:hint="cs"/>
                <w:rtl/>
              </w:rPr>
              <w:t>תחילה</w:t>
            </w:r>
          </w:p>
        </w:tc>
        <w:tc>
          <w:tcPr>
            <w:tcW w:w="624" w:type="dxa"/>
          </w:tcPr>
          <w:p w:rsidR="00534AD6" w:rsidRDefault="00150213">
            <w:pPr>
              <w:pStyle w:val="TableText"/>
            </w:pPr>
            <w:r>
              <w:rPr>
                <w:rFonts w:hint="cs"/>
                <w:rtl/>
              </w:rPr>
              <w:t>2.</w:t>
            </w:r>
          </w:p>
        </w:tc>
        <w:tc>
          <w:tcPr>
            <w:tcW w:w="7146" w:type="dxa"/>
            <w:gridSpan w:val="3"/>
          </w:tcPr>
          <w:p w:rsidR="00534AD6" w:rsidRPr="00C34DE2" w:rsidRDefault="00150213" w:rsidP="001B37B1">
            <w:pPr>
              <w:pStyle w:val="TableBlock"/>
            </w:pPr>
            <w:r>
              <w:rPr>
                <w:rFonts w:hint="cs"/>
                <w:rtl/>
              </w:rPr>
              <w:t xml:space="preserve">תחילתו של חוק זה </w:t>
            </w:r>
            <w:r w:rsidR="001B37B1">
              <w:rPr>
                <w:rFonts w:hint="cs"/>
                <w:rtl/>
              </w:rPr>
              <w:t xml:space="preserve">באחד בחודש שלאחר יום פרסומו (להלן </w:t>
            </w:r>
            <w:r w:rsidR="001B37B1">
              <w:rPr>
                <w:rtl/>
              </w:rPr>
              <w:t>–</w:t>
            </w:r>
            <w:r w:rsidR="001B37B1">
              <w:rPr>
                <w:rFonts w:hint="cs"/>
                <w:rtl/>
              </w:rPr>
              <w:t xml:space="preserve"> יום התחילה), והוא יחול על</w:t>
            </w:r>
            <w:r>
              <w:rPr>
                <w:rFonts w:hint="cs"/>
                <w:rtl/>
              </w:rPr>
              <w:t xml:space="preserve"> הלוואה</w:t>
            </w:r>
            <w:r w:rsidR="001B37B1">
              <w:rPr>
                <w:rFonts w:hint="cs"/>
                <w:rtl/>
              </w:rPr>
              <w:t xml:space="preserve"> שניתנה</w:t>
            </w:r>
            <w:r>
              <w:rPr>
                <w:rFonts w:hint="cs"/>
                <w:rtl/>
              </w:rPr>
              <w:t xml:space="preserve"> </w:t>
            </w:r>
            <w:r w:rsidR="001B37B1">
              <w:rPr>
                <w:rFonts w:hint="cs"/>
                <w:rtl/>
              </w:rPr>
              <w:t>ביום התחילה ואילך</w:t>
            </w:r>
            <w:r>
              <w:rPr>
                <w:rFonts w:hint="cs"/>
                <w:rtl/>
              </w:rPr>
              <w:t>.</w:t>
            </w:r>
          </w:p>
        </w:tc>
      </w:tr>
    </w:tbl>
    <w:p w:rsidR="001E4464" w:rsidRDefault="001E4464" w:rsidP="00A6122E">
      <w:pPr>
        <w:pStyle w:val="HeadDivreiHesber"/>
        <w:rPr>
          <w:rtl/>
        </w:rPr>
      </w:pPr>
    </w:p>
    <w:p w:rsidR="001E4464" w:rsidRDefault="001E4464" w:rsidP="00A6122E">
      <w:pPr>
        <w:pStyle w:val="HeadDivreiHesber"/>
        <w:rPr>
          <w:rtl/>
        </w:rPr>
      </w:pPr>
      <w:r>
        <w:rPr>
          <w:rFonts w:hint="cs"/>
          <w:rtl/>
        </w:rPr>
        <w:t>דברי הסבר</w:t>
      </w:r>
    </w:p>
    <w:p w:rsidR="00B53D6D" w:rsidRDefault="00C82255" w:rsidP="00B53D6D">
      <w:pPr>
        <w:pStyle w:val="Hesber"/>
        <w:rPr>
          <w:rtl/>
        </w:rPr>
      </w:pPr>
      <w:r>
        <w:rPr>
          <w:rFonts w:hint="cs"/>
          <w:rtl/>
        </w:rPr>
        <w:t>בעת קבלת הלוואה לדיור נקבע שיעור הריבית על ההלוואה (ריבית קבועה או משתנה) במסגרת הסכם בין התאגיד הבנקאי לבין הלקוח. ריבית זו מושפעת מהריבית הנקבעת על ידי הוועדה המוניטרית שבבנק ישראל בהתאם להוראות סעיף</w:t>
      </w:r>
      <w:r w:rsidR="00B53D6D">
        <w:rPr>
          <w:rFonts w:hint="cs"/>
          <w:rtl/>
        </w:rPr>
        <w:t xml:space="preserve"> 15 לחוק בנק ישראל, התש"ע-2010, וכתוצאה מכך נקבע גובה ההחזר החודשי שעל הלווה לשלם לתאגיד הבנקאי.</w:t>
      </w:r>
    </w:p>
    <w:p w:rsidR="00B53D6D" w:rsidRDefault="00B53D6D" w:rsidP="00B53D6D">
      <w:pPr>
        <w:pStyle w:val="Hesber"/>
        <w:rPr>
          <w:rtl/>
        </w:rPr>
      </w:pPr>
      <w:r>
        <w:rPr>
          <w:rFonts w:hint="cs"/>
          <w:rtl/>
        </w:rPr>
        <w:t>במהלך השנה האחרונה, הועלה שיעור הריבית באופן ניכר ביחס לשנים הקודמות, דבר שהביא לעלייה בגובה ההחזרים החודשיים שנטלו הלווים. מדובר בנטל נוסף על גבם של לווים לאור התייקרות המחירים במשק.</w:t>
      </w:r>
    </w:p>
    <w:p w:rsidR="00C82255" w:rsidRPr="00C82255" w:rsidRDefault="00B53D6D" w:rsidP="008B3F33">
      <w:pPr>
        <w:pStyle w:val="Hesber"/>
      </w:pPr>
      <w:r>
        <w:rPr>
          <w:rFonts w:hint="cs"/>
          <w:rtl/>
        </w:rPr>
        <w:t xml:space="preserve">על מנת להקל על הנטל הכספי, מוצע לקבוע כי שיעור הריבית שנקבע בהלוואה לדיור לרכישת דירה </w:t>
      </w:r>
      <w:r w:rsidR="008B3F33">
        <w:rPr>
          <w:rFonts w:hint="cs"/>
          <w:rtl/>
        </w:rPr>
        <w:t>יחידה</w:t>
      </w:r>
      <w:r>
        <w:rPr>
          <w:rFonts w:hint="cs"/>
          <w:rtl/>
        </w:rPr>
        <w:t xml:space="preserve"> המשמשת למגורים</w:t>
      </w:r>
      <w:r w:rsidR="008B3F33">
        <w:rPr>
          <w:rFonts w:hint="cs"/>
          <w:rtl/>
        </w:rPr>
        <w:t xml:space="preserve"> לא ישתנה בעקבות החלטה על העלאת הריבית כאמור, ואם הוחלט להעלות את הריבית בשיעור שנתי העולה על 1% לפחות, יהיה רשאי התאגיד הבנקאי להעלות את הריבית על ההלוואה במחצית השיעור, וזאת לשם </w:t>
      </w:r>
      <w:r w:rsidR="00B84467">
        <w:rPr>
          <w:rFonts w:hint="cs"/>
          <w:rtl/>
        </w:rPr>
        <w:t>הקלה על הנטל הכלכלי שמוטל על הלווים.</w:t>
      </w:r>
      <w:r w:rsidR="00C82255">
        <w:rPr>
          <w:rFonts w:hint="cs"/>
          <w:rtl/>
        </w:rPr>
        <w:t xml:space="preserve"> </w:t>
      </w:r>
    </w:p>
    <w:sectPr w:rsidR="00C82255" w:rsidRPr="00C82255" w:rsidSect="001E4464">
      <w:pgSz w:w="12240" w:h="15840"/>
      <w:pgMar w:top="1701"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AC" w:rsidRDefault="002D0DAC" w:rsidP="001A5152">
      <w:pPr>
        <w:spacing w:line="240" w:lineRule="auto"/>
      </w:pPr>
      <w:r>
        <w:separator/>
      </w:r>
    </w:p>
  </w:endnote>
  <w:endnote w:type="continuationSeparator" w:id="0">
    <w:p w:rsidR="002D0DAC" w:rsidRDefault="002D0DAC" w:rsidP="001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AC" w:rsidRDefault="002D0DAC" w:rsidP="002A204A">
      <w:pPr>
        <w:spacing w:line="240" w:lineRule="auto"/>
        <w:ind w:left="0"/>
      </w:pPr>
      <w:r>
        <w:separator/>
      </w:r>
    </w:p>
  </w:footnote>
  <w:footnote w:type="continuationSeparator" w:id="0">
    <w:p w:rsidR="002D0DAC" w:rsidRDefault="002D0DAC" w:rsidP="001A5152">
      <w:pPr>
        <w:spacing w:line="240" w:lineRule="auto"/>
      </w:pPr>
      <w:r>
        <w:continuationSeparator/>
      </w:r>
    </w:p>
  </w:footnote>
  <w:footnote w:id="1">
    <w:p w:rsidR="002A204A" w:rsidRDefault="002A204A">
      <w:pPr>
        <w:pStyle w:val="a5"/>
      </w:pPr>
      <w:r>
        <w:rPr>
          <w:rStyle w:val="a7"/>
        </w:rPr>
        <w:footnoteRef/>
      </w:r>
      <w:r>
        <w:rPr>
          <w:rtl/>
        </w:rPr>
        <w:t xml:space="preserve"> </w:t>
      </w:r>
      <w:r>
        <w:rPr>
          <w:rFonts w:hint="cs"/>
          <w:rtl/>
        </w:rPr>
        <w:t>ס"ח התשמ"א, עמ' 258.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45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DA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07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128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EA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0E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546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3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A7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F1038B"/>
    <w:multiLevelType w:val="hybridMultilevel"/>
    <w:tmpl w:val="BEFE9E0A"/>
    <w:lvl w:ilvl="0" w:tplc="1EA86CF8">
      <w:numFmt w:val="bullet"/>
      <w:lvlText w:val="-"/>
      <w:lvlJc w:val="left"/>
      <w:pPr>
        <w:ind w:left="720" w:hanging="360"/>
      </w:pPr>
      <w:rPr>
        <w:rFonts w:ascii="David" w:eastAsia="Arial Unicode MS"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1"/>
  </w:num>
  <w:num w:numId="4">
    <w:abstractNumId w:val="15"/>
  </w:num>
  <w:num w:numId="5">
    <w:abstractNumId w:val="8"/>
  </w:num>
  <w:num w:numId="6">
    <w:abstractNumId w:val="3"/>
  </w:num>
  <w:num w:numId="7">
    <w:abstractNumId w:val="2"/>
  </w:num>
  <w:num w:numId="8">
    <w:abstractNumId w:val="1"/>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64"/>
    <w:rsid w:val="0001149C"/>
    <w:rsid w:val="00026C97"/>
    <w:rsid w:val="00053048"/>
    <w:rsid w:val="00080BED"/>
    <w:rsid w:val="00087DBC"/>
    <w:rsid w:val="000B1456"/>
    <w:rsid w:val="00117CE6"/>
    <w:rsid w:val="00133F7B"/>
    <w:rsid w:val="00150213"/>
    <w:rsid w:val="00154176"/>
    <w:rsid w:val="001A5152"/>
    <w:rsid w:val="001B37B1"/>
    <w:rsid w:val="001E1B09"/>
    <w:rsid w:val="001E4464"/>
    <w:rsid w:val="00217ECC"/>
    <w:rsid w:val="002234CC"/>
    <w:rsid w:val="0024086F"/>
    <w:rsid w:val="002434A0"/>
    <w:rsid w:val="002A204A"/>
    <w:rsid w:val="002A6423"/>
    <w:rsid w:val="002C388C"/>
    <w:rsid w:val="002D0DAC"/>
    <w:rsid w:val="003564A3"/>
    <w:rsid w:val="00361209"/>
    <w:rsid w:val="0038354A"/>
    <w:rsid w:val="003915F8"/>
    <w:rsid w:val="003E6753"/>
    <w:rsid w:val="004167F4"/>
    <w:rsid w:val="00480014"/>
    <w:rsid w:val="004C6CB5"/>
    <w:rsid w:val="00532E81"/>
    <w:rsid w:val="00534AD6"/>
    <w:rsid w:val="0053585C"/>
    <w:rsid w:val="005419B5"/>
    <w:rsid w:val="00596AC0"/>
    <w:rsid w:val="005C29F5"/>
    <w:rsid w:val="005E413E"/>
    <w:rsid w:val="00635B26"/>
    <w:rsid w:val="006511B9"/>
    <w:rsid w:val="00676C5E"/>
    <w:rsid w:val="006A2102"/>
    <w:rsid w:val="006D5E37"/>
    <w:rsid w:val="00713397"/>
    <w:rsid w:val="00724BF2"/>
    <w:rsid w:val="00792F90"/>
    <w:rsid w:val="007E4B9B"/>
    <w:rsid w:val="007F0FB1"/>
    <w:rsid w:val="00884EA2"/>
    <w:rsid w:val="008A4E6F"/>
    <w:rsid w:val="008A695C"/>
    <w:rsid w:val="008B3F33"/>
    <w:rsid w:val="008C45BD"/>
    <w:rsid w:val="008F28CD"/>
    <w:rsid w:val="009064BE"/>
    <w:rsid w:val="00921506"/>
    <w:rsid w:val="00931A09"/>
    <w:rsid w:val="00A47FF2"/>
    <w:rsid w:val="00A63DAD"/>
    <w:rsid w:val="00A82902"/>
    <w:rsid w:val="00A979B8"/>
    <w:rsid w:val="00AD2328"/>
    <w:rsid w:val="00AD5E1E"/>
    <w:rsid w:val="00B30F49"/>
    <w:rsid w:val="00B53D6D"/>
    <w:rsid w:val="00B76F7D"/>
    <w:rsid w:val="00B84467"/>
    <w:rsid w:val="00B852A8"/>
    <w:rsid w:val="00C022C7"/>
    <w:rsid w:val="00C2346E"/>
    <w:rsid w:val="00C82255"/>
    <w:rsid w:val="00C9247B"/>
    <w:rsid w:val="00D221BC"/>
    <w:rsid w:val="00D6446E"/>
    <w:rsid w:val="00D95231"/>
    <w:rsid w:val="00DE2909"/>
    <w:rsid w:val="00DF2A58"/>
    <w:rsid w:val="00E133D6"/>
    <w:rsid w:val="00E134EE"/>
    <w:rsid w:val="00E4130F"/>
    <w:rsid w:val="00E77833"/>
    <w:rsid w:val="00EA365F"/>
    <w:rsid w:val="00EE4145"/>
    <w:rsid w:val="00EE74A2"/>
    <w:rsid w:val="00EF04C9"/>
    <w:rsid w:val="00EF4890"/>
    <w:rsid w:val="00F078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61C"/>
  <w15:chartTrackingRefBased/>
  <w15:docId w15:val="{C885FB04-D484-4694-ADF8-5735D13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6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E446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E446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E446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E4464"/>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1E446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1E446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E4464"/>
    <w:pPr>
      <w:outlineLvl w:val="2"/>
    </w:pPr>
  </w:style>
  <w:style w:type="paragraph" w:customStyle="1" w:styleId="TableBlock">
    <w:name w:val="Table Block"/>
    <w:basedOn w:val="TableText"/>
    <w:rsid w:val="001E4464"/>
    <w:pPr>
      <w:jc w:val="both"/>
    </w:pPr>
  </w:style>
  <w:style w:type="paragraph" w:customStyle="1" w:styleId="TableHead">
    <w:name w:val="Table Head"/>
    <w:basedOn w:val="TableText"/>
    <w:rsid w:val="001E4464"/>
    <w:pPr>
      <w:jc w:val="center"/>
      <w:outlineLvl w:val="1"/>
    </w:pPr>
    <w:rPr>
      <w:b/>
      <w:bCs/>
    </w:rPr>
  </w:style>
  <w:style w:type="paragraph" w:customStyle="1" w:styleId="HeadMitparsemetBaze">
    <w:name w:val="Head MitparsemetBaze"/>
    <w:basedOn w:val="a"/>
    <w:rsid w:val="001E446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E4464"/>
    <w:pPr>
      <w:keepNext/>
      <w:keepLines/>
      <w:snapToGrid w:val="0"/>
      <w:spacing w:before="240"/>
      <w:jc w:val="center"/>
      <w:outlineLvl w:val="0"/>
    </w:pPr>
    <w:rPr>
      <w:rFonts w:ascii="Arial" w:eastAsia="Arial Unicode MS" w:hAnsi="Arial"/>
      <w:b/>
      <w:bCs/>
      <w:snapToGrid w:val="0"/>
      <w:sz w:val="20"/>
      <w:szCs w:val="26"/>
    </w:rPr>
  </w:style>
  <w:style w:type="paragraph" w:customStyle="1" w:styleId="HesberWriters">
    <w:name w:val="Hesber Writers"/>
    <w:basedOn w:val="Hesber"/>
    <w:rsid w:val="001E4464"/>
    <w:pPr>
      <w:spacing w:before="120" w:after="120"/>
      <w:ind w:left="1418"/>
      <w:jc w:val="right"/>
    </w:pPr>
    <w:rPr>
      <w:b/>
      <w:bCs/>
    </w:rPr>
  </w:style>
  <w:style w:type="paragraph" w:customStyle="1" w:styleId="Hesber1st">
    <w:name w:val="Hesber 1st"/>
    <w:basedOn w:val="Hesber"/>
    <w:rsid w:val="001E4464"/>
    <w:pPr>
      <w:tabs>
        <w:tab w:val="left" w:pos="680"/>
        <w:tab w:val="left" w:pos="1020"/>
      </w:tabs>
      <w:ind w:firstLine="0"/>
    </w:pPr>
  </w:style>
  <w:style w:type="paragraph" w:customStyle="1" w:styleId="HeadDivreiHesber">
    <w:name w:val="Head DivreiHesber"/>
    <w:basedOn w:val="a"/>
    <w:rsid w:val="001E4464"/>
    <w:pPr>
      <w:snapToGrid w:val="0"/>
      <w:spacing w:before="360" w:after="120"/>
      <w:jc w:val="center"/>
      <w:outlineLvl w:val="1"/>
    </w:pPr>
    <w:rPr>
      <w:rFonts w:ascii="Arial" w:eastAsia="Arial Unicode MS" w:hAnsi="Arial"/>
      <w:b/>
      <w:snapToGrid w:val="0"/>
      <w:spacing w:val="40"/>
      <w:sz w:val="20"/>
      <w:szCs w:val="26"/>
    </w:rPr>
  </w:style>
  <w:style w:type="character" w:customStyle="1" w:styleId="10">
    <w:name w:val="כותרת 1 תו"/>
    <w:basedOn w:val="a0"/>
    <w:link w:val="1"/>
    <w:uiPriority w:val="9"/>
    <w:rsid w:val="001E4464"/>
    <w:rPr>
      <w:rFonts w:asciiTheme="majorHAnsi" w:eastAsiaTheme="majorEastAsia" w:hAnsiTheme="majorHAnsi" w:cs="David"/>
      <w:bCs/>
      <w:sz w:val="32"/>
      <w:szCs w:val="36"/>
    </w:rPr>
  </w:style>
  <w:style w:type="character" w:customStyle="1" w:styleId="20">
    <w:name w:val="כותרת 2 תו"/>
    <w:basedOn w:val="a0"/>
    <w:link w:val="2"/>
    <w:rsid w:val="001E4464"/>
    <w:rPr>
      <w:rFonts w:asciiTheme="majorHAnsi" w:eastAsiaTheme="majorEastAsia" w:hAnsiTheme="majorHAnsi" w:cs="David"/>
      <w:bCs/>
      <w:sz w:val="26"/>
      <w:szCs w:val="36"/>
      <w:u w:val="single"/>
    </w:rPr>
  </w:style>
  <w:style w:type="character" w:customStyle="1" w:styleId="30">
    <w:name w:val="כותרת 3 תו"/>
    <w:basedOn w:val="a0"/>
    <w:link w:val="3"/>
    <w:rsid w:val="001E4464"/>
    <w:rPr>
      <w:rFonts w:asciiTheme="majorHAnsi" w:eastAsiaTheme="majorEastAsia" w:hAnsiTheme="majorHAnsi" w:cs="David"/>
      <w:sz w:val="24"/>
      <w:szCs w:val="28"/>
      <w:u w:val="double"/>
    </w:rPr>
  </w:style>
  <w:style w:type="character" w:customStyle="1" w:styleId="40">
    <w:name w:val="כותרת 4 תו"/>
    <w:basedOn w:val="a0"/>
    <w:link w:val="4"/>
    <w:uiPriority w:val="9"/>
    <w:rsid w:val="001E4464"/>
    <w:rPr>
      <w:rFonts w:ascii="David" w:hAnsi="David" w:cs="David"/>
      <w:b/>
      <w:bCs/>
      <w:color w:val="000000" w:themeColor="text1"/>
      <w:sz w:val="24"/>
      <w:szCs w:val="28"/>
    </w:rPr>
  </w:style>
  <w:style w:type="character" w:customStyle="1" w:styleId="50">
    <w:name w:val="כותרת 5 תו"/>
    <w:basedOn w:val="a0"/>
    <w:link w:val="5"/>
    <w:uiPriority w:val="9"/>
    <w:rsid w:val="001E4464"/>
    <w:rPr>
      <w:rFonts w:ascii="David" w:hAnsi="David" w:cs="David"/>
      <w:color w:val="000000" w:themeColor="text1"/>
      <w:sz w:val="24"/>
      <w:szCs w:val="24"/>
    </w:rPr>
  </w:style>
  <w:style w:type="paragraph" w:customStyle="1" w:styleId="HeadHatzaotHok4Futer">
    <w:name w:val="Head HatzaotHok4Futer"/>
    <w:basedOn w:val="HeadHatzaotHok"/>
    <w:rsid w:val="001E4464"/>
    <w:pPr>
      <w:spacing w:before="120" w:after="120"/>
    </w:pPr>
    <w:rPr>
      <w:color w:val="FF0000"/>
      <w:w w:val="80"/>
    </w:rPr>
  </w:style>
  <w:style w:type="paragraph" w:styleId="a3">
    <w:name w:val="endnote text"/>
    <w:basedOn w:val="a"/>
    <w:link w:val="a4"/>
    <w:semiHidden/>
    <w:rsid w:val="001E4464"/>
    <w:pPr>
      <w:ind w:left="227" w:hanging="227"/>
    </w:pPr>
    <w:rPr>
      <w:sz w:val="14"/>
      <w:szCs w:val="22"/>
    </w:rPr>
  </w:style>
  <w:style w:type="character" w:customStyle="1" w:styleId="a4">
    <w:name w:val="טקסט הערת סיום תו"/>
    <w:basedOn w:val="a0"/>
    <w:link w:val="a3"/>
    <w:semiHidden/>
    <w:rsid w:val="001E4464"/>
    <w:rPr>
      <w:rFonts w:ascii="David" w:hAnsi="David" w:cs="David"/>
      <w:sz w:val="14"/>
    </w:rPr>
  </w:style>
  <w:style w:type="paragraph" w:customStyle="1" w:styleId="TableInnerSideHeading">
    <w:name w:val="Table InnerSideHeading"/>
    <w:basedOn w:val="TableSideHeading"/>
    <w:rsid w:val="001E4464"/>
    <w:pPr>
      <w:outlineLvl w:val="9"/>
    </w:pPr>
  </w:style>
  <w:style w:type="paragraph" w:customStyle="1" w:styleId="Hesber">
    <w:name w:val="Hesber"/>
    <w:basedOn w:val="a"/>
    <w:rsid w:val="001E446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1E446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1E4464"/>
    <w:rPr>
      <w:rFonts w:ascii="Arial" w:eastAsia="Arial Unicode MS" w:hAnsi="Arial" w:cs="David"/>
      <w:snapToGrid w:val="0"/>
      <w:sz w:val="14"/>
      <w:szCs w:val="20"/>
    </w:rPr>
  </w:style>
  <w:style w:type="character" w:styleId="a7">
    <w:name w:val="footnote reference"/>
    <w:aliases w:val="Footnote Reference"/>
    <w:basedOn w:val="a0"/>
    <w:semiHidden/>
    <w:rsid w:val="001E4464"/>
    <w:rPr>
      <w:vertAlign w:val="superscript"/>
    </w:rPr>
  </w:style>
  <w:style w:type="paragraph" w:customStyle="1" w:styleId="HesberHeading">
    <w:name w:val="Hesber Heading"/>
    <w:basedOn w:val="Hesber"/>
    <w:rsid w:val="001E4464"/>
    <w:pPr>
      <w:tabs>
        <w:tab w:val="left" w:pos="624"/>
        <w:tab w:val="left" w:pos="1247"/>
      </w:tabs>
    </w:pPr>
    <w:rPr>
      <w:b/>
      <w:bCs/>
    </w:rPr>
  </w:style>
  <w:style w:type="character" w:styleId="a8">
    <w:name w:val="endnote reference"/>
    <w:basedOn w:val="a0"/>
    <w:semiHidden/>
    <w:rsid w:val="001E4464"/>
    <w:rPr>
      <w:vertAlign w:val="superscript"/>
    </w:rPr>
  </w:style>
  <w:style w:type="paragraph" w:customStyle="1" w:styleId="TableBlockOutdent">
    <w:name w:val="Table BlockOutdent"/>
    <w:basedOn w:val="TableBlock"/>
    <w:rsid w:val="001E4464"/>
    <w:pPr>
      <w:ind w:left="624" w:hanging="624"/>
    </w:pPr>
  </w:style>
  <w:style w:type="paragraph" w:styleId="a9">
    <w:name w:val="header"/>
    <w:basedOn w:val="a"/>
    <w:link w:val="aa"/>
    <w:rsid w:val="001E4464"/>
    <w:pPr>
      <w:tabs>
        <w:tab w:val="center" w:pos="4153"/>
        <w:tab w:val="right" w:pos="8306"/>
      </w:tabs>
    </w:pPr>
  </w:style>
  <w:style w:type="character" w:customStyle="1" w:styleId="aa">
    <w:name w:val="כותרת עליונה תו"/>
    <w:basedOn w:val="a0"/>
    <w:link w:val="a9"/>
    <w:rsid w:val="001E4464"/>
    <w:rPr>
      <w:rFonts w:ascii="David" w:hAnsi="David" w:cs="David"/>
      <w:sz w:val="24"/>
      <w:szCs w:val="24"/>
    </w:rPr>
  </w:style>
  <w:style w:type="paragraph" w:styleId="ab">
    <w:name w:val="footer"/>
    <w:basedOn w:val="a"/>
    <w:link w:val="ac"/>
    <w:rsid w:val="001E4464"/>
    <w:pPr>
      <w:tabs>
        <w:tab w:val="center" w:pos="4153"/>
        <w:tab w:val="right" w:pos="8306"/>
      </w:tabs>
    </w:pPr>
  </w:style>
  <w:style w:type="character" w:customStyle="1" w:styleId="ac">
    <w:name w:val="כותרת תחתונה תו"/>
    <w:basedOn w:val="a0"/>
    <w:link w:val="ab"/>
    <w:rsid w:val="001E4464"/>
    <w:rPr>
      <w:rFonts w:ascii="David" w:hAnsi="David" w:cs="David"/>
      <w:sz w:val="24"/>
      <w:szCs w:val="24"/>
    </w:rPr>
  </w:style>
  <w:style w:type="character" w:styleId="ad">
    <w:name w:val="page number"/>
    <w:basedOn w:val="a0"/>
    <w:rsid w:val="001E4464"/>
  </w:style>
  <w:style w:type="paragraph" w:customStyle="1" w:styleId="Cover1-Reshumot">
    <w:name w:val="Cover 1-Reshumot"/>
    <w:basedOn w:val="a"/>
    <w:rsid w:val="001E446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E4464"/>
    <w:rPr>
      <w:sz w:val="36"/>
      <w:szCs w:val="52"/>
    </w:rPr>
  </w:style>
  <w:style w:type="paragraph" w:customStyle="1" w:styleId="Cover3-Haknesset">
    <w:name w:val="Cover 3-Haknesset"/>
    <w:basedOn w:val="Cover1-Reshumot"/>
    <w:rsid w:val="001E4464"/>
    <w:rPr>
      <w:b/>
      <w:bCs/>
      <w:spacing w:val="60"/>
    </w:rPr>
  </w:style>
  <w:style w:type="paragraph" w:customStyle="1" w:styleId="Cover4-Date">
    <w:name w:val="Cover 4-Date"/>
    <w:basedOn w:val="a"/>
    <w:rsid w:val="001E446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E446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E4464"/>
    <w:pPr>
      <w:widowControl/>
      <w:spacing w:before="120" w:after="120"/>
      <w:outlineLvl w:val="9"/>
    </w:pPr>
    <w:rPr>
      <w:rtl/>
      <w:cs/>
    </w:rPr>
  </w:style>
  <w:style w:type="paragraph" w:styleId="TOC1">
    <w:name w:val="toc 1"/>
    <w:basedOn w:val="a"/>
    <w:next w:val="a"/>
    <w:autoRedefine/>
    <w:uiPriority w:val="39"/>
    <w:unhideWhenUsed/>
    <w:rsid w:val="001E4464"/>
    <w:pPr>
      <w:tabs>
        <w:tab w:val="right" w:leader="dot" w:pos="9629"/>
      </w:tabs>
      <w:spacing w:after="100"/>
    </w:pPr>
    <w:rPr>
      <w:bCs/>
      <w:szCs w:val="22"/>
    </w:rPr>
  </w:style>
  <w:style w:type="paragraph" w:styleId="TOC2">
    <w:name w:val="toc 2"/>
    <w:basedOn w:val="a"/>
    <w:next w:val="a"/>
    <w:uiPriority w:val="39"/>
    <w:unhideWhenUsed/>
    <w:rsid w:val="001E4464"/>
    <w:pPr>
      <w:tabs>
        <w:tab w:val="right" w:leader="dot" w:pos="9628"/>
      </w:tabs>
      <w:spacing w:after="100"/>
    </w:pPr>
    <w:rPr>
      <w:szCs w:val="22"/>
    </w:rPr>
  </w:style>
  <w:style w:type="character" w:styleId="Hyperlink">
    <w:name w:val="Hyperlink"/>
    <w:basedOn w:val="a0"/>
    <w:uiPriority w:val="99"/>
    <w:unhideWhenUsed/>
    <w:rsid w:val="001E4464"/>
    <w:rPr>
      <w:color w:val="0563C1" w:themeColor="hyperlink"/>
      <w:u w:val="single"/>
    </w:rPr>
  </w:style>
  <w:style w:type="paragraph" w:styleId="TOC3">
    <w:name w:val="toc 3"/>
    <w:basedOn w:val="a"/>
    <w:next w:val="a"/>
    <w:uiPriority w:val="39"/>
    <w:unhideWhenUsed/>
    <w:rsid w:val="001E4464"/>
    <w:pPr>
      <w:tabs>
        <w:tab w:val="right" w:leader="dot" w:pos="9629"/>
      </w:tabs>
      <w:spacing w:after="100"/>
      <w:ind w:left="567"/>
    </w:pPr>
    <w:rPr>
      <w:szCs w:val="22"/>
    </w:rPr>
  </w:style>
  <w:style w:type="paragraph" w:styleId="TOC4">
    <w:name w:val="toc 4"/>
    <w:basedOn w:val="a"/>
    <w:next w:val="a"/>
    <w:autoRedefine/>
    <w:unhideWhenUsed/>
    <w:qFormat/>
    <w:rsid w:val="001E446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E4464"/>
    <w:pPr>
      <w:tabs>
        <w:tab w:val="right" w:leader="dot" w:pos="9628"/>
      </w:tabs>
      <w:spacing w:after="100"/>
      <w:ind w:left="567"/>
    </w:pPr>
    <w:rPr>
      <w:szCs w:val="22"/>
    </w:rPr>
  </w:style>
  <w:style w:type="paragraph" w:styleId="TOC6">
    <w:name w:val="toc 6"/>
    <w:basedOn w:val="a"/>
    <w:next w:val="a"/>
    <w:autoRedefine/>
    <w:semiHidden/>
    <w:unhideWhenUsed/>
    <w:rsid w:val="001E4464"/>
    <w:pPr>
      <w:spacing w:after="100"/>
      <w:ind w:left="850"/>
    </w:pPr>
  </w:style>
  <w:style w:type="paragraph" w:styleId="TOC7">
    <w:name w:val="toc 7"/>
    <w:basedOn w:val="a"/>
    <w:next w:val="a"/>
    <w:autoRedefine/>
    <w:semiHidden/>
    <w:unhideWhenUsed/>
    <w:rsid w:val="001E4464"/>
    <w:pPr>
      <w:spacing w:after="100"/>
      <w:ind w:left="1020"/>
    </w:pPr>
  </w:style>
  <w:style w:type="paragraph" w:styleId="TOC8">
    <w:name w:val="toc 8"/>
    <w:basedOn w:val="a"/>
    <w:next w:val="a"/>
    <w:autoRedefine/>
    <w:semiHidden/>
    <w:unhideWhenUsed/>
    <w:rsid w:val="001E4464"/>
    <w:pPr>
      <w:spacing w:after="100"/>
      <w:ind w:left="1190"/>
    </w:pPr>
  </w:style>
  <w:style w:type="paragraph" w:styleId="TOC9">
    <w:name w:val="toc 9"/>
    <w:basedOn w:val="a"/>
    <w:next w:val="a"/>
    <w:autoRedefine/>
    <w:semiHidden/>
    <w:unhideWhenUsed/>
    <w:rsid w:val="001E4464"/>
    <w:pPr>
      <w:spacing w:after="100"/>
      <w:ind w:left="1360"/>
    </w:pPr>
  </w:style>
  <w:style w:type="paragraph" w:customStyle="1" w:styleId="TableHead2">
    <w:name w:val="Table Head2"/>
    <w:basedOn w:val="TableHead"/>
    <w:qFormat/>
    <w:rsid w:val="001E4464"/>
    <w:pPr>
      <w:outlineLvl w:val="9"/>
    </w:pPr>
  </w:style>
  <w:style w:type="paragraph" w:customStyle="1" w:styleId="TableSideHeading2">
    <w:name w:val="Table SideHeading2"/>
    <w:basedOn w:val="TableSideHeading"/>
    <w:autoRedefine/>
    <w:qFormat/>
    <w:rsid w:val="001E4464"/>
    <w:pPr>
      <w:keepLines w:val="0"/>
      <w:outlineLvl w:val="9"/>
    </w:pPr>
  </w:style>
  <w:style w:type="paragraph" w:customStyle="1" w:styleId="0">
    <w:name w:val="סגנון שורה ראשונה:  0  ס''מ"/>
    <w:basedOn w:val="2"/>
    <w:rsid w:val="001E4464"/>
    <w:rPr>
      <w:rFonts w:eastAsia="Times New Roman"/>
    </w:rPr>
  </w:style>
  <w:style w:type="paragraph" w:styleId="af">
    <w:name w:val="List Paragraph"/>
    <w:basedOn w:val="a"/>
    <w:uiPriority w:val="34"/>
    <w:qFormat/>
    <w:rsid w:val="001E4464"/>
    <w:pPr>
      <w:widowControl/>
      <w:spacing w:line="259" w:lineRule="auto"/>
    </w:pPr>
    <w:rPr>
      <w:rFonts w:asciiTheme="minorHAnsi" w:hAnsiTheme="minorHAnsi"/>
      <w:sz w:val="22"/>
    </w:rPr>
  </w:style>
  <w:style w:type="table" w:styleId="af0">
    <w:name w:val="Table Grid"/>
    <w:basedOn w:val="a1"/>
    <w:rsid w:val="001E446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E446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E446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E446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E446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087DBC"/>
    <w:rPr>
      <w:sz w:val="16"/>
      <w:szCs w:val="16"/>
    </w:rPr>
  </w:style>
  <w:style w:type="paragraph" w:styleId="af3">
    <w:name w:val="annotation text"/>
    <w:basedOn w:val="a"/>
    <w:link w:val="af4"/>
    <w:uiPriority w:val="99"/>
    <w:semiHidden/>
    <w:unhideWhenUsed/>
    <w:rsid w:val="00087DBC"/>
    <w:pPr>
      <w:spacing w:line="240" w:lineRule="auto"/>
    </w:pPr>
    <w:rPr>
      <w:sz w:val="20"/>
      <w:szCs w:val="20"/>
    </w:rPr>
  </w:style>
  <w:style w:type="character" w:customStyle="1" w:styleId="af4">
    <w:name w:val="טקסט הערה תו"/>
    <w:basedOn w:val="a0"/>
    <w:link w:val="af3"/>
    <w:uiPriority w:val="99"/>
    <w:semiHidden/>
    <w:rsid w:val="00087DBC"/>
    <w:rPr>
      <w:rFonts w:ascii="David" w:hAnsi="David" w:cs="David"/>
      <w:sz w:val="20"/>
      <w:szCs w:val="20"/>
    </w:rPr>
  </w:style>
  <w:style w:type="paragraph" w:styleId="af5">
    <w:name w:val="annotation subject"/>
    <w:basedOn w:val="af3"/>
    <w:next w:val="af3"/>
    <w:link w:val="af6"/>
    <w:uiPriority w:val="99"/>
    <w:semiHidden/>
    <w:unhideWhenUsed/>
    <w:rsid w:val="00087DBC"/>
    <w:rPr>
      <w:b/>
      <w:bCs/>
    </w:rPr>
  </w:style>
  <w:style w:type="character" w:customStyle="1" w:styleId="af6">
    <w:name w:val="נושא הערה תו"/>
    <w:basedOn w:val="af4"/>
    <w:link w:val="af5"/>
    <w:uiPriority w:val="99"/>
    <w:semiHidden/>
    <w:rsid w:val="00087DBC"/>
    <w:rPr>
      <w:rFonts w:ascii="David" w:hAnsi="David" w:cs="David"/>
      <w:b/>
      <w:bCs/>
      <w:sz w:val="20"/>
      <w:szCs w:val="20"/>
    </w:rPr>
  </w:style>
  <w:style w:type="paragraph" w:styleId="af7">
    <w:name w:val="Balloon Text"/>
    <w:basedOn w:val="a"/>
    <w:link w:val="af8"/>
    <w:uiPriority w:val="99"/>
    <w:semiHidden/>
    <w:unhideWhenUsed/>
    <w:rsid w:val="00087DBC"/>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087DBC"/>
    <w:rPr>
      <w:rFonts w:ascii="Tahoma" w:hAnsi="Tahoma" w:cs="Tahoma"/>
      <w:sz w:val="18"/>
      <w:szCs w:val="18"/>
    </w:rPr>
  </w:style>
  <w:style w:type="paragraph" w:styleId="af9">
    <w:name w:val="Revision"/>
    <w:hidden/>
    <w:uiPriority w:val="99"/>
    <w:semiHidden/>
    <w:rsid w:val="00AD5E1E"/>
    <w:pPr>
      <w:spacing w:after="0" w:line="240" w:lineRule="auto"/>
    </w:pPr>
    <w:rPr>
      <w:rFonts w:ascii="David" w:hAnsi="David" w:cs="David"/>
      <w:sz w:val="24"/>
      <w:szCs w:val="24"/>
    </w:rPr>
  </w:style>
  <w:style w:type="paragraph" w:customStyle="1" w:styleId="p00">
    <w:name w:val="p00"/>
    <w:basedOn w:val="a"/>
    <w:rsid w:val="00A82902"/>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big-number">
    <w:name w:val="big-number"/>
    <w:basedOn w:val="a0"/>
    <w:rsid w:val="00A82902"/>
  </w:style>
  <w:style w:type="character" w:customStyle="1" w:styleId="default">
    <w:name w:val="default"/>
    <w:basedOn w:val="a0"/>
    <w:rsid w:val="00A82902"/>
  </w:style>
  <w:style w:type="paragraph" w:customStyle="1" w:styleId="p22">
    <w:name w:val="p22"/>
    <w:basedOn w:val="a"/>
    <w:rsid w:val="00A82902"/>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847">
      <w:bodyDiv w:val="1"/>
      <w:marLeft w:val="0"/>
      <w:marRight w:val="0"/>
      <w:marTop w:val="0"/>
      <w:marBottom w:val="0"/>
      <w:divBdr>
        <w:top w:val="none" w:sz="0" w:space="0" w:color="auto"/>
        <w:left w:val="none" w:sz="0" w:space="0" w:color="auto"/>
        <w:bottom w:val="none" w:sz="0" w:space="0" w:color="auto"/>
        <w:right w:val="none" w:sz="0" w:space="0" w:color="auto"/>
      </w:divBdr>
    </w:div>
    <w:div w:id="150368416">
      <w:bodyDiv w:val="1"/>
      <w:marLeft w:val="0"/>
      <w:marRight w:val="0"/>
      <w:marTop w:val="0"/>
      <w:marBottom w:val="0"/>
      <w:divBdr>
        <w:top w:val="none" w:sz="0" w:space="0" w:color="auto"/>
        <w:left w:val="none" w:sz="0" w:space="0" w:color="auto"/>
        <w:bottom w:val="none" w:sz="0" w:space="0" w:color="auto"/>
        <w:right w:val="none" w:sz="0" w:space="0" w:color="auto"/>
      </w:divBdr>
    </w:div>
    <w:div w:id="483207165">
      <w:bodyDiv w:val="1"/>
      <w:marLeft w:val="0"/>
      <w:marRight w:val="0"/>
      <w:marTop w:val="0"/>
      <w:marBottom w:val="0"/>
      <w:divBdr>
        <w:top w:val="none" w:sz="0" w:space="0" w:color="auto"/>
        <w:left w:val="none" w:sz="0" w:space="0" w:color="auto"/>
        <w:bottom w:val="none" w:sz="0" w:space="0" w:color="auto"/>
        <w:right w:val="none" w:sz="0" w:space="0" w:color="auto"/>
      </w:divBdr>
    </w:div>
    <w:div w:id="696854525">
      <w:bodyDiv w:val="1"/>
      <w:marLeft w:val="0"/>
      <w:marRight w:val="0"/>
      <w:marTop w:val="0"/>
      <w:marBottom w:val="0"/>
      <w:divBdr>
        <w:top w:val="none" w:sz="0" w:space="0" w:color="auto"/>
        <w:left w:val="none" w:sz="0" w:space="0" w:color="auto"/>
        <w:bottom w:val="none" w:sz="0" w:space="0" w:color="auto"/>
        <w:right w:val="none" w:sz="0" w:space="0" w:color="auto"/>
      </w:divBdr>
    </w:div>
    <w:div w:id="1546864778">
      <w:bodyDiv w:val="1"/>
      <w:marLeft w:val="0"/>
      <w:marRight w:val="0"/>
      <w:marTop w:val="0"/>
      <w:marBottom w:val="0"/>
      <w:divBdr>
        <w:top w:val="none" w:sz="0" w:space="0" w:color="auto"/>
        <w:left w:val="none" w:sz="0" w:space="0" w:color="auto"/>
        <w:bottom w:val="none" w:sz="0" w:space="0" w:color="auto"/>
        <w:right w:val="none" w:sz="0" w:space="0" w:color="auto"/>
      </w:divBdr>
    </w:div>
    <w:div w:id="16289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בנתורה</dc:creator>
  <cp:keywords/>
  <dc:description/>
  <cp:lastModifiedBy>שלומית ארליך</cp:lastModifiedBy>
  <cp:revision>2</cp:revision>
  <cp:lastPrinted>2022-12-06T16:12:00Z</cp:lastPrinted>
  <dcterms:created xsi:type="dcterms:W3CDTF">2022-12-08T13:22:00Z</dcterms:created>
  <dcterms:modified xsi:type="dcterms:W3CDTF">2022-12-08T13:22:00Z</dcterms:modified>
</cp:coreProperties>
</file>